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CC436" w14:textId="77777777" w:rsidR="00F8103E" w:rsidRDefault="00F8103E" w:rsidP="005512E9">
      <w:pPr>
        <w:jc w:val="center"/>
        <w:rPr>
          <w:b/>
          <w:u w:val="single"/>
        </w:rPr>
      </w:pPr>
      <w:r w:rsidRPr="00F8103E">
        <w:rPr>
          <w:b/>
          <w:u w:val="single"/>
        </w:rPr>
        <w:t>LEGISLATIVE DIGEST</w:t>
      </w:r>
    </w:p>
    <w:p w14:paraId="3A7035DE" w14:textId="77777777" w:rsidR="00F8103E" w:rsidRPr="00F8103E" w:rsidRDefault="00F8103E" w:rsidP="005512E9">
      <w:pPr>
        <w:jc w:val="center"/>
        <w:rPr>
          <w:b/>
          <w:u w:val="single"/>
        </w:rPr>
      </w:pPr>
    </w:p>
    <w:p w14:paraId="7DCF4F00" w14:textId="74BD5C67" w:rsidR="00165AE9" w:rsidRDefault="00165AE9" w:rsidP="00165AE9">
      <w:r>
        <w:t>[</w:t>
      </w:r>
      <w:r w:rsidR="005D18E2">
        <w:t xml:space="preserve">Planning Code; Zoning Map </w:t>
      </w:r>
      <w:r w:rsidR="00DF3FCC">
        <w:t>-</w:t>
      </w:r>
      <w:r w:rsidR="005D18E2">
        <w:t xml:space="preserve"> Residential Demolition in the Priority Equity Geographies Special Use District</w:t>
      </w:r>
      <w:r>
        <w:t>]</w:t>
      </w:r>
    </w:p>
    <w:p w14:paraId="1516AC89" w14:textId="77777777" w:rsidR="00165AE9" w:rsidRPr="00527A82" w:rsidRDefault="00165AE9" w:rsidP="00165AE9"/>
    <w:p w14:paraId="21E5CF39" w14:textId="1B920A4E" w:rsidR="00165AE9" w:rsidRPr="001B5483" w:rsidRDefault="005D18E2" w:rsidP="00165AE9">
      <w:pPr>
        <w:rPr>
          <w:b/>
        </w:rPr>
      </w:pPr>
      <w:r w:rsidRPr="008F5F74">
        <w:rPr>
          <w:b/>
        </w:rPr>
        <w:t xml:space="preserve">Ordinance amending the </w:t>
      </w:r>
      <w:r>
        <w:rPr>
          <w:b/>
        </w:rPr>
        <w:t>Planning Code to</w:t>
      </w:r>
      <w:r w:rsidRPr="008F5F74">
        <w:rPr>
          <w:b/>
        </w:rPr>
        <w:t xml:space="preserve"> </w:t>
      </w:r>
      <w:r>
        <w:rPr>
          <w:b/>
        </w:rPr>
        <w:t>require property owners seeking to demolish residential units to construct at least as many units as will be demolished or existed on the project site within the prior seven years; to require property owners seeking to demolish certain residential units in the Priority Equity Geographies Special Use District (PEG SUD) to replace those units at an affordable rent or an affordable cost in proportion to the number of lower-income renters in the PEG SUD, and to replace a percentage of units as affordable to extremely low-income households; to require project sponsors to replace certain demolished rent-controlled units at an affordable rent or cost; amending the Zoning Map to add additional parcels south of Ocean Avenue between Ashton Avenue and Howth Street to the PEG SUD; af</w:t>
      </w:r>
      <w:r w:rsidRPr="00653BB5">
        <w:rPr>
          <w:b/>
        </w:rPr>
        <w:t xml:space="preserve">firming the Planning Department’s determination under the California Environmental Quality Act; </w:t>
      </w:r>
      <w:r w:rsidRPr="005E2C8E">
        <w:rPr>
          <w:b/>
          <w:bCs/>
        </w:rPr>
        <w:t>making findings of consistency with the General Plan</w:t>
      </w:r>
      <w:r>
        <w:rPr>
          <w:b/>
          <w:bCs/>
        </w:rPr>
        <w:t>, and the eight priority policies of Planning Code, Section 101.1;</w:t>
      </w:r>
      <w:r w:rsidRPr="009255E0">
        <w:rPr>
          <w:b/>
          <w:bCs/>
        </w:rPr>
        <w:t xml:space="preserve"> </w:t>
      </w:r>
      <w:r w:rsidRPr="00CA18DB">
        <w:rPr>
          <w:b/>
          <w:bCs/>
        </w:rPr>
        <w:t>and making findings of public convenience, necessity, and welfare under Planning Code, Section 302</w:t>
      </w:r>
      <w:r w:rsidRPr="005E2C8E">
        <w:rPr>
          <w:b/>
          <w:bCs/>
        </w:rPr>
        <w:t>.</w:t>
      </w:r>
    </w:p>
    <w:p w14:paraId="084B942E" w14:textId="77777777" w:rsidR="0038672D" w:rsidRDefault="0038672D" w:rsidP="005512E9"/>
    <w:p w14:paraId="56804D5A" w14:textId="77777777" w:rsidR="00F8103E" w:rsidRPr="00AC7073" w:rsidRDefault="008B6D39" w:rsidP="00AC7073">
      <w:pPr>
        <w:jc w:val="center"/>
        <w:rPr>
          <w:u w:val="single"/>
        </w:rPr>
      </w:pPr>
      <w:r w:rsidRPr="00AC7073">
        <w:rPr>
          <w:u w:val="single"/>
        </w:rPr>
        <w:t>Existing Law</w:t>
      </w:r>
    </w:p>
    <w:p w14:paraId="132448B8" w14:textId="77777777" w:rsidR="00F8103E" w:rsidRDefault="00F8103E" w:rsidP="005512E9"/>
    <w:p w14:paraId="72067835" w14:textId="77AA5FBD" w:rsidR="0038672D" w:rsidRDefault="005D18E2" w:rsidP="005512E9">
      <w:r>
        <w:t xml:space="preserve">Planning Code section 317.2 implements </w:t>
      </w:r>
      <w:r w:rsidR="00763DF9">
        <w:t xml:space="preserve">California </w:t>
      </w:r>
      <w:r>
        <w:t xml:space="preserve">Government Code section 66300 </w:t>
      </w:r>
      <w:r w:rsidRPr="00330EC6">
        <w:rPr>
          <w:i/>
          <w:iCs/>
        </w:rPr>
        <w:t>et seq</w:t>
      </w:r>
      <w:r w:rsidR="00330EC6">
        <w:rPr>
          <w:i/>
          <w:iCs/>
        </w:rPr>
        <w:t>.</w:t>
      </w:r>
      <w:r>
        <w:t xml:space="preserve">, commonly known as “SB 330’s replacement </w:t>
      </w:r>
      <w:r w:rsidR="00C86E71">
        <w:t xml:space="preserve">unit </w:t>
      </w:r>
      <w:r w:rsidR="00D72E28">
        <w:t>requirements</w:t>
      </w:r>
      <w:r>
        <w:t xml:space="preserve">.”  The City adopted </w:t>
      </w:r>
      <w:r w:rsidR="00B4792A">
        <w:t xml:space="preserve">Planning Code </w:t>
      </w:r>
      <w:r>
        <w:t xml:space="preserve">Section 317.2 in </w:t>
      </w:r>
      <w:r w:rsidR="00D72E28">
        <w:t xml:space="preserve">January </w:t>
      </w:r>
      <w:r>
        <w:t>202</w:t>
      </w:r>
      <w:r w:rsidR="00763DF9">
        <w:t>6, as part of the Tenant Protection Ordinance</w:t>
      </w:r>
      <w:r w:rsidR="00C86E71">
        <w:t>, Board Ordinance No. 03-26</w:t>
      </w:r>
      <w:r>
        <w:t xml:space="preserve">.  </w:t>
      </w:r>
    </w:p>
    <w:p w14:paraId="25605A7D" w14:textId="77777777" w:rsidR="005D18E2" w:rsidRDefault="005D18E2" w:rsidP="005512E9"/>
    <w:p w14:paraId="79DDAD08" w14:textId="6E65FFD3" w:rsidR="00B568CC" w:rsidRDefault="005D18E2" w:rsidP="00B568CC">
      <w:r>
        <w:t xml:space="preserve">Among other requirements, Section 317.2 requires property owners who seek to demolish residential units in order to construct a new residential building </w:t>
      </w:r>
      <w:r w:rsidR="00B568CC">
        <w:t>to construct</w:t>
      </w:r>
      <w:r>
        <w:t xml:space="preserve"> at least as many units as existed on the project site within the last five years.  </w:t>
      </w:r>
    </w:p>
    <w:p w14:paraId="721EE78B" w14:textId="77777777" w:rsidR="00B568CC" w:rsidRDefault="00B568CC" w:rsidP="00B568CC"/>
    <w:p w14:paraId="256F7BCA" w14:textId="4B8DD6D3" w:rsidR="007A270F" w:rsidRDefault="00B4792A" w:rsidP="00330EC6">
      <w:r>
        <w:t xml:space="preserve">Like SB 330, </w:t>
      </w:r>
      <w:r w:rsidR="005D18E2">
        <w:t xml:space="preserve">Section 317.2 </w:t>
      </w:r>
      <w:r w:rsidR="00C86E71">
        <w:t>includes special provisions that apply to the demolition of “</w:t>
      </w:r>
      <w:r w:rsidR="005D18E2">
        <w:t>protected units</w:t>
      </w:r>
      <w:r w:rsidR="00C86E71">
        <w:t xml:space="preserve">.” Protected units are </w:t>
      </w:r>
      <w:r w:rsidR="005D18E2">
        <w:t>units that are subject to rent control</w:t>
      </w:r>
      <w:r w:rsidR="00C86E71">
        <w:t>;</w:t>
      </w:r>
      <w:r w:rsidR="005D18E2">
        <w:t xml:space="preserve"> units that have been removed from the rental market due to the Ellis Act (Government Code section 7060)</w:t>
      </w:r>
      <w:r w:rsidR="00C86E71">
        <w:t>;</w:t>
      </w:r>
      <w:r w:rsidR="005D18E2">
        <w:t xml:space="preserve"> units that are restricted </w:t>
      </w:r>
      <w:r w:rsidR="00330EC6">
        <w:t xml:space="preserve">to </w:t>
      </w:r>
      <w:r w:rsidR="005D18E2">
        <w:t>below</w:t>
      </w:r>
      <w:r w:rsidR="00330EC6">
        <w:t>-</w:t>
      </w:r>
      <w:r w:rsidR="005D18E2">
        <w:t>market</w:t>
      </w:r>
      <w:r w:rsidR="00330EC6">
        <w:t>-</w:t>
      </w:r>
      <w:r w:rsidR="005D18E2">
        <w:t xml:space="preserve">rate </w:t>
      </w:r>
      <w:r w:rsidR="00330EC6">
        <w:t xml:space="preserve">rents or costs </w:t>
      </w:r>
      <w:r w:rsidR="00C86E71">
        <w:t>(</w:t>
      </w:r>
      <w:r w:rsidR="00330EC6">
        <w:t xml:space="preserve">i.e. </w:t>
      </w:r>
      <w:r w:rsidR="00C86E71">
        <w:t xml:space="preserve">affordable </w:t>
      </w:r>
      <w:r w:rsidR="005D18E2">
        <w:t>units</w:t>
      </w:r>
      <w:r w:rsidR="00330EC6">
        <w:t>)</w:t>
      </w:r>
      <w:r w:rsidR="00C86E71">
        <w:t>;</w:t>
      </w:r>
      <w:r w:rsidR="005D18E2">
        <w:t xml:space="preserve"> and units that have been occupied by a lower income </w:t>
      </w:r>
      <w:r w:rsidR="00330EC6">
        <w:t xml:space="preserve">household </w:t>
      </w:r>
      <w:r w:rsidR="005D18E2">
        <w:t>within the last five years</w:t>
      </w:r>
      <w:r w:rsidR="00C86E71">
        <w:t xml:space="preserve">.  </w:t>
      </w:r>
      <w:r w:rsidR="00330EC6">
        <w:t>Generally, p</w:t>
      </w:r>
      <w:r w:rsidR="00D72E28">
        <w:t>roperty</w:t>
      </w:r>
      <w:r w:rsidR="00C86E71">
        <w:t xml:space="preserve"> owners who demolish protected units must </w:t>
      </w:r>
      <w:r w:rsidR="005D18E2">
        <w:t>replace those units with either rent control</w:t>
      </w:r>
      <w:r w:rsidR="00330EC6">
        <w:t>led</w:t>
      </w:r>
      <w:r w:rsidR="005D18E2">
        <w:t xml:space="preserve"> units or </w:t>
      </w:r>
      <w:r w:rsidR="00C86E71">
        <w:t>affordable units</w:t>
      </w:r>
      <w:r w:rsidR="00330EC6">
        <w:t xml:space="preserve"> – the type of replacement unit depends on the income-level of the former household</w:t>
      </w:r>
      <w:r w:rsidR="007A270F">
        <w:t xml:space="preserve"> and the tenure of the new units</w:t>
      </w:r>
      <w:r w:rsidR="005D18E2">
        <w:t xml:space="preserve">. </w:t>
      </w:r>
      <w:r>
        <w:t xml:space="preserve"> </w:t>
      </w:r>
      <w:r w:rsidR="007A270F">
        <w:t xml:space="preserve">If rent-controlled protected units were occupied by above low-income households, the replacement units must be rent-controlled units if the new units are rental </w:t>
      </w:r>
      <w:r w:rsidR="00671BA5">
        <w:t>units and</w:t>
      </w:r>
      <w:r w:rsidR="007A270F">
        <w:t xml:space="preserve"> must be affordable to lower-income households if the replacement units are ownership units. </w:t>
      </w:r>
    </w:p>
    <w:p w14:paraId="54BC3464" w14:textId="77777777" w:rsidR="007A270F" w:rsidRDefault="007A270F" w:rsidP="00330EC6"/>
    <w:p w14:paraId="440C7EB0" w14:textId="6DFF226A" w:rsidR="00C86E71" w:rsidRDefault="005D18E2" w:rsidP="00330EC6">
      <w:r>
        <w:lastRenderedPageBreak/>
        <w:t xml:space="preserve">If the </w:t>
      </w:r>
      <w:r w:rsidR="00516290">
        <w:t xml:space="preserve">protected units must be </w:t>
      </w:r>
      <w:r>
        <w:t>replace</w:t>
      </w:r>
      <w:r w:rsidR="00516290">
        <w:t>d with</w:t>
      </w:r>
      <w:r>
        <w:t xml:space="preserve"> </w:t>
      </w:r>
      <w:r w:rsidR="00C86E71">
        <w:t>affordable units</w:t>
      </w:r>
      <w:r>
        <w:t>, the</w:t>
      </w:r>
      <w:r w:rsidR="00C86E71">
        <w:t xml:space="preserve"> units</w:t>
      </w:r>
      <w:r>
        <w:t xml:space="preserve"> must be affordable at the same </w:t>
      </w:r>
      <w:r w:rsidR="00B568CC">
        <w:t xml:space="preserve">income </w:t>
      </w:r>
      <w:r>
        <w:t xml:space="preserve">level as the last </w:t>
      </w:r>
      <w:r w:rsidR="00330EC6">
        <w:t>household, if known</w:t>
      </w:r>
      <w:r w:rsidR="00B4792A">
        <w:t xml:space="preserve">. </w:t>
      </w:r>
      <w:r w:rsidR="00B568CC">
        <w:t xml:space="preserve">If the income category of the </w:t>
      </w:r>
      <w:r w:rsidR="00330EC6">
        <w:t xml:space="preserve">household or </w:t>
      </w:r>
      <w:r w:rsidR="00B568CC">
        <w:t xml:space="preserve">previous </w:t>
      </w:r>
      <w:r w:rsidR="00330EC6">
        <w:t xml:space="preserve">household </w:t>
      </w:r>
      <w:r w:rsidR="00B568CC">
        <w:t>is unknown, it is “rebuttably presumed</w:t>
      </w:r>
      <w:r w:rsidR="00330EC6">
        <w:t>”</w:t>
      </w:r>
      <w:r w:rsidR="00B568CC">
        <w:t xml:space="preserve"> that lower</w:t>
      </w:r>
      <w:r w:rsidR="00330EC6">
        <w:t>-</w:t>
      </w:r>
      <w:r w:rsidR="00B568CC">
        <w:t>income renter households occupied the units in the same proportion of lower</w:t>
      </w:r>
      <w:r w:rsidR="00330EC6">
        <w:t>-</w:t>
      </w:r>
      <w:r w:rsidR="00B568CC">
        <w:t>income renter households to all renter households within the jurisdiction</w:t>
      </w:r>
      <w:r w:rsidR="00330EC6">
        <w:t xml:space="preserve"> In San Francisco,</w:t>
      </w:r>
      <w:r w:rsidR="00B568CC">
        <w:t xml:space="preserve"> 51% of all renters are considered lower income, and 49% are considered above-lower income.  Of the lower</w:t>
      </w:r>
      <w:r w:rsidR="00330EC6">
        <w:t>-</w:t>
      </w:r>
      <w:r w:rsidR="00B568CC">
        <w:t xml:space="preserve">income renters, 37% are very low-income (renters that make up to 50% of the area median income (“AMI”)), and 14% are low-income (renters that make between 51 to 80% of AMI). </w:t>
      </w:r>
    </w:p>
    <w:p w14:paraId="0B9127F8" w14:textId="77777777" w:rsidR="00B568CC" w:rsidRDefault="00B568CC" w:rsidP="005512E9"/>
    <w:p w14:paraId="562B26AE" w14:textId="1440C4D7" w:rsidR="00C86E71" w:rsidRDefault="00C86E71" w:rsidP="005512E9">
      <w:r>
        <w:t>The Priority Equity Geographies Special Use District</w:t>
      </w:r>
      <w:r w:rsidR="00B568CC">
        <w:t xml:space="preserve"> (PEG-SUD)</w:t>
      </w:r>
      <w:r>
        <w:t>, Planning Code section 249.97</w:t>
      </w:r>
      <w:r w:rsidR="005D602B">
        <w:t>,</w:t>
      </w:r>
      <w:r>
        <w:t xml:space="preserve"> </w:t>
      </w:r>
      <w:r w:rsidR="005D602B">
        <w:t xml:space="preserve">is comprised of areas or neighborhoods with a higher density of vulnerable </w:t>
      </w:r>
      <w:r w:rsidR="00D72E28">
        <w:t>populations</w:t>
      </w:r>
      <w:r w:rsidR="005D602B">
        <w:t>, and includes a</w:t>
      </w:r>
      <w:r>
        <w:t xml:space="preserve">reas </w:t>
      </w:r>
      <w:r w:rsidR="005D602B">
        <w:t>on the south and east sides of the City</w:t>
      </w:r>
      <w:r>
        <w:t>.</w:t>
      </w:r>
      <w:r w:rsidR="005D602B">
        <w:t xml:space="preserve">  </w:t>
      </w:r>
    </w:p>
    <w:p w14:paraId="7D3E8063" w14:textId="77777777" w:rsidR="00F8103E" w:rsidRDefault="00F8103E" w:rsidP="005512E9"/>
    <w:p w14:paraId="61D04EF9" w14:textId="77777777" w:rsidR="00F8103E" w:rsidRPr="008B6D39" w:rsidRDefault="008B6D39" w:rsidP="005512E9">
      <w:pPr>
        <w:jc w:val="center"/>
        <w:rPr>
          <w:u w:val="single"/>
        </w:rPr>
      </w:pPr>
      <w:r w:rsidRPr="008B6D39">
        <w:rPr>
          <w:u w:val="single"/>
        </w:rPr>
        <w:t>Amendments to Current Law</w:t>
      </w:r>
    </w:p>
    <w:p w14:paraId="0F728DC9" w14:textId="77777777" w:rsidR="008B6D39" w:rsidRDefault="008B6D39" w:rsidP="005512E9"/>
    <w:p w14:paraId="38B61E01" w14:textId="492B25B5" w:rsidR="008B6D39" w:rsidRDefault="005D18E2" w:rsidP="005512E9">
      <w:r>
        <w:t>This ordinance would amend</w:t>
      </w:r>
      <w:r w:rsidR="005D602B">
        <w:t xml:space="preserve"> Planning Code </w:t>
      </w:r>
      <w:r>
        <w:t>Section 317.2 to require project sponsors who seek to demolish residential units in order to construct a new residential building to construct at least as</w:t>
      </w:r>
      <w:r w:rsidR="00C86E71">
        <w:t xml:space="preserve"> </w:t>
      </w:r>
      <w:r>
        <w:t xml:space="preserve">many units as existing on the project site within the last </w:t>
      </w:r>
      <w:r w:rsidRPr="00516290">
        <w:t>seven</w:t>
      </w:r>
      <w:r>
        <w:t xml:space="preserve"> years, rather than </w:t>
      </w:r>
      <w:r w:rsidR="00330EC6">
        <w:t xml:space="preserve">the last </w:t>
      </w:r>
      <w:r>
        <w:t xml:space="preserve">five years. </w:t>
      </w:r>
    </w:p>
    <w:p w14:paraId="1DBE20B2" w14:textId="77777777" w:rsidR="005D18E2" w:rsidRDefault="005D18E2" w:rsidP="005512E9"/>
    <w:p w14:paraId="6C024EA8" w14:textId="0B501EFF" w:rsidR="005D18E2" w:rsidRDefault="005D18E2" w:rsidP="005512E9">
      <w:r>
        <w:t xml:space="preserve">This ordinance would also amend Section 317.2 to require property owners who seek to demolish protected </w:t>
      </w:r>
      <w:r w:rsidR="001A09CF">
        <w:t xml:space="preserve">rent-controlled </w:t>
      </w:r>
      <w:r w:rsidR="003458A8">
        <w:t xml:space="preserve">units occupied by above low-income households </w:t>
      </w:r>
      <w:r>
        <w:t xml:space="preserve">in the </w:t>
      </w:r>
      <w:r w:rsidR="00B568CC">
        <w:t xml:space="preserve">PEG-SUD </w:t>
      </w:r>
      <w:r>
        <w:t xml:space="preserve">to replace those units with </w:t>
      </w:r>
      <w:r w:rsidR="00C86E71">
        <w:t>affordable units</w:t>
      </w:r>
      <w:r w:rsidR="003458A8">
        <w:t xml:space="preserve"> if the units are rental </w:t>
      </w:r>
      <w:r w:rsidR="003458A8" w:rsidRPr="003458A8">
        <w:rPr>
          <w:i/>
          <w:iCs/>
        </w:rPr>
        <w:t>or</w:t>
      </w:r>
      <w:r w:rsidR="003458A8">
        <w:t xml:space="preserve"> ownership. </w:t>
      </w:r>
      <w:r>
        <w:t xml:space="preserve"> In addition, </w:t>
      </w:r>
      <w:r w:rsidR="00B568CC" w:rsidRPr="00B568CC">
        <w:t>if incomes of occupants or former occupants are unknown, rather than presuming that lower</w:t>
      </w:r>
      <w:r w:rsidR="00330EC6">
        <w:t>-</w:t>
      </w:r>
      <w:r w:rsidR="00B568CC" w:rsidRPr="00B568CC">
        <w:t>income households occupied the units in the same proportion as lower</w:t>
      </w:r>
      <w:r w:rsidR="00330EC6">
        <w:t>-</w:t>
      </w:r>
      <w:r w:rsidR="00B568CC" w:rsidRPr="00B568CC">
        <w:t xml:space="preserve">income households in the City as a whole, projects in the PEG SUD would </w:t>
      </w:r>
      <w:r w:rsidR="00330EC6">
        <w:t>presume that lower-income households occupied the units in the same proportion as lower-income household in</w:t>
      </w:r>
      <w:r w:rsidR="00B568CC" w:rsidRPr="00B568CC">
        <w:t xml:space="preserve"> the PEG SUD</w:t>
      </w:r>
      <w:r w:rsidR="00EC5192">
        <w:t xml:space="preserve"> area only</w:t>
      </w:r>
      <w:r w:rsidR="00B568CC" w:rsidRPr="00B568CC">
        <w:t xml:space="preserve">.  In addition, </w:t>
      </w:r>
      <w:r w:rsidR="003458A8">
        <w:t xml:space="preserve">in the PEG-SUD, </w:t>
      </w:r>
      <w:r w:rsidR="00B568CC" w:rsidRPr="00B568CC">
        <w:t xml:space="preserve">the </w:t>
      </w:r>
      <w:r w:rsidR="00EC5192">
        <w:t>o</w:t>
      </w:r>
      <w:r w:rsidR="00B568CC" w:rsidRPr="00B568CC">
        <w:t xml:space="preserve">rdinance would incorporate an extremely low-income category for rental projects.  Extremely low-income households are those that earn up to 30% of AMI.  In the PEG SUD, 69% of renters are lower income households (compared to 51% citywide).  Of the 69% of renters at lower incomes, 14% are low-income, 14% are very low-income and 41% are extremely low-income.  </w:t>
      </w:r>
    </w:p>
    <w:p w14:paraId="0691E889" w14:textId="77777777" w:rsidR="005D602B" w:rsidRDefault="005D602B" w:rsidP="005512E9"/>
    <w:p w14:paraId="5E93B01E" w14:textId="42AC0350" w:rsidR="005D602B" w:rsidRDefault="005D602B" w:rsidP="005512E9">
      <w:r>
        <w:t>This ordinance would also amend the boundaries of the PEG-SUD to include additional parcels south of Ocean Avenue between Ashton</w:t>
      </w:r>
      <w:r w:rsidR="00B4792A">
        <w:t xml:space="preserve"> Avenue and Howth Street.</w:t>
      </w:r>
    </w:p>
    <w:p w14:paraId="3DA9D8DE" w14:textId="77777777" w:rsidR="008B6D39" w:rsidRDefault="008B6D39" w:rsidP="005512E9"/>
    <w:p w14:paraId="37F18195" w14:textId="77777777" w:rsidR="008B6D39" w:rsidRPr="008B6D39" w:rsidRDefault="008B6D39" w:rsidP="005512E9">
      <w:pPr>
        <w:jc w:val="center"/>
        <w:rPr>
          <w:u w:val="single"/>
        </w:rPr>
      </w:pPr>
      <w:r w:rsidRPr="008B6D39">
        <w:rPr>
          <w:u w:val="single"/>
        </w:rPr>
        <w:t>Background Information</w:t>
      </w:r>
    </w:p>
    <w:p w14:paraId="47050F2A" w14:textId="77777777" w:rsidR="008B6D39" w:rsidRDefault="008B6D39" w:rsidP="005512E9"/>
    <w:p w14:paraId="28239686" w14:textId="55366885" w:rsidR="008B6D39" w:rsidRDefault="00763DF9" w:rsidP="005512E9">
      <w:r>
        <w:t xml:space="preserve">The Board of Supervisors adopted </w:t>
      </w:r>
      <w:r w:rsidR="00C86E71">
        <w:t xml:space="preserve">Planning Code </w:t>
      </w:r>
      <w:r>
        <w:t xml:space="preserve">Section 317.2 in Board Ordinance </w:t>
      </w:r>
      <w:r w:rsidR="00516290">
        <w:t>N</w:t>
      </w:r>
      <w:r>
        <w:t xml:space="preserve">o. </w:t>
      </w:r>
      <w:r w:rsidR="00B568CC">
        <w:t>0</w:t>
      </w:r>
      <w:r>
        <w:t xml:space="preserve">3-26 in January 2026.  </w:t>
      </w:r>
    </w:p>
    <w:p w14:paraId="78526B77" w14:textId="77777777" w:rsidR="008B6D39" w:rsidRDefault="008B6D39" w:rsidP="005512E9"/>
    <w:p w14:paraId="069AD1D5" w14:textId="77777777" w:rsidR="00D72E28" w:rsidRDefault="00D72E28" w:rsidP="002421EC">
      <w:pPr>
        <w:spacing w:line="180" w:lineRule="exact"/>
        <w:rPr>
          <w:rFonts w:cs="Arial"/>
          <w:sz w:val="16"/>
        </w:rPr>
      </w:pPr>
    </w:p>
    <w:p w14:paraId="515DDCCB" w14:textId="5B0915EB" w:rsidR="002421EC" w:rsidRDefault="002421EC" w:rsidP="002421EC">
      <w:pPr>
        <w:spacing w:line="180" w:lineRule="exact"/>
        <w:rPr>
          <w:rFonts w:cs="Arial"/>
          <w:sz w:val="16"/>
        </w:rPr>
      </w:pPr>
      <w:r>
        <w:rPr>
          <w:rFonts w:cs="Arial"/>
          <w:sz w:val="16"/>
        </w:rPr>
        <w:fldChar w:fldCharType="begin"/>
      </w:r>
      <w:r>
        <w:rPr>
          <w:rFonts w:cs="Arial"/>
          <w:sz w:val="16"/>
        </w:rPr>
        <w:instrText xml:space="preserve"> DOCVARIABLE ndGeneratedStamp \* MERGEFORMAT </w:instrText>
      </w:r>
      <w:r>
        <w:rPr>
          <w:rFonts w:cs="Arial"/>
          <w:sz w:val="16"/>
        </w:rPr>
        <w:fldChar w:fldCharType="separate"/>
      </w:r>
      <w:r>
        <w:rPr>
          <w:rFonts w:cs="Arial"/>
          <w:sz w:val="16"/>
        </w:rPr>
        <w:t>4928-3022-3804, v. 1</w:t>
      </w:r>
      <w:r>
        <w:rPr>
          <w:rFonts w:cs="Arial"/>
          <w:sz w:val="16"/>
        </w:rPr>
        <w:fldChar w:fldCharType="end"/>
      </w:r>
    </w:p>
    <w:p w14:paraId="1296E5E5" w14:textId="77777777" w:rsidR="00D72E28" w:rsidRDefault="00D72E28" w:rsidP="002421EC">
      <w:pPr>
        <w:spacing w:line="180" w:lineRule="exact"/>
        <w:rPr>
          <w:rFonts w:cs="Arial"/>
          <w:sz w:val="16"/>
        </w:rPr>
      </w:pPr>
    </w:p>
    <w:p w14:paraId="532F3255" w14:textId="77777777" w:rsidR="00D72E28" w:rsidRDefault="00D72E28" w:rsidP="002421EC">
      <w:pPr>
        <w:spacing w:line="180" w:lineRule="exact"/>
      </w:pPr>
    </w:p>
    <w:sectPr w:rsidR="00D72E28" w:rsidSect="00236C0C">
      <w:headerReference w:type="default" r:id="rId8"/>
      <w:footerReference w:type="default" r:id="rId9"/>
      <w:type w:val="continuous"/>
      <w:pgSz w:w="12240" w:h="15840" w:code="1"/>
      <w:pgMar w:top="1886" w:right="720" w:bottom="1800" w:left="1526" w:header="547" w:footer="6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1C9F8" w14:textId="77777777" w:rsidR="00EA7967" w:rsidRDefault="00EA7967" w:rsidP="00671996">
      <w:r>
        <w:separator/>
      </w:r>
    </w:p>
  </w:endnote>
  <w:endnote w:type="continuationSeparator" w:id="0">
    <w:p w14:paraId="4ED701A5" w14:textId="77777777" w:rsidR="00EA7967" w:rsidRDefault="00EA7967" w:rsidP="00671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07102" w14:textId="77777777" w:rsidR="00EE7763" w:rsidRPr="00AF2B2F" w:rsidRDefault="00EE7763" w:rsidP="00EE7763">
    <w:pPr>
      <w:pStyle w:val="Footer"/>
      <w:tabs>
        <w:tab w:val="clear" w:pos="9360"/>
        <w:tab w:val="right" w:pos="9990"/>
      </w:tabs>
      <w:spacing w:line="240" w:lineRule="exact"/>
      <w:rPr>
        <w:sz w:val="18"/>
        <w:szCs w:val="18"/>
      </w:rPr>
    </w:pPr>
    <w:r w:rsidRPr="00AF2B2F">
      <w:rPr>
        <w:b/>
        <w:sz w:val="18"/>
        <w:szCs w:val="18"/>
      </w:rPr>
      <w:t>BOARD OF SUPERVISORS</w:t>
    </w:r>
    <w:r w:rsidRPr="00AF2B2F">
      <w:rPr>
        <w:sz w:val="18"/>
        <w:szCs w:val="18"/>
      </w:rPr>
      <w:tab/>
    </w:r>
    <w:r w:rsidRPr="00AF2B2F">
      <w:rPr>
        <w:sz w:val="18"/>
        <w:szCs w:val="18"/>
      </w:rPr>
      <w:tab/>
      <w:t xml:space="preserve">Page </w:t>
    </w:r>
    <w:r w:rsidR="00D20666" w:rsidRPr="00AF2B2F">
      <w:rPr>
        <w:sz w:val="18"/>
        <w:szCs w:val="18"/>
      </w:rPr>
      <w:fldChar w:fldCharType="begin"/>
    </w:r>
    <w:r w:rsidRPr="00AF2B2F">
      <w:rPr>
        <w:sz w:val="18"/>
        <w:szCs w:val="18"/>
      </w:rPr>
      <w:instrText xml:space="preserve"> PAGE   \* MERGEFORMAT </w:instrText>
    </w:r>
    <w:r w:rsidR="00D20666" w:rsidRPr="00AF2B2F">
      <w:rPr>
        <w:sz w:val="18"/>
        <w:szCs w:val="18"/>
      </w:rPr>
      <w:fldChar w:fldCharType="separate"/>
    </w:r>
    <w:r w:rsidR="00EF555B">
      <w:rPr>
        <w:noProof/>
        <w:sz w:val="18"/>
        <w:szCs w:val="18"/>
      </w:rPr>
      <w:t>1</w:t>
    </w:r>
    <w:r w:rsidR="00D20666" w:rsidRPr="00AF2B2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BF9FA" w14:textId="77777777" w:rsidR="00EA7967" w:rsidRDefault="00EA7967" w:rsidP="00671996">
      <w:r>
        <w:separator/>
      </w:r>
    </w:p>
  </w:footnote>
  <w:footnote w:type="continuationSeparator" w:id="0">
    <w:p w14:paraId="01AC1879" w14:textId="77777777" w:rsidR="00EA7967" w:rsidRDefault="00EA7967" w:rsidP="006719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07B10" w14:textId="77777777" w:rsidR="00DA4DB9" w:rsidRDefault="00DA4DB9" w:rsidP="00EB1156"/>
  <w:p w14:paraId="1B4DCCB6" w14:textId="09001CF9" w:rsidR="00F53F3B" w:rsidRDefault="004124FE" w:rsidP="00306DA8">
    <w:pPr>
      <w:tabs>
        <w:tab w:val="left" w:pos="5040"/>
      </w:tabs>
    </w:pPr>
    <w:r>
      <w:t>FILE NO.</w:t>
    </w:r>
    <w:r w:rsidR="00DF3FCC">
      <w:t xml:space="preserve"> 260836</w:t>
    </w:r>
  </w:p>
  <w:p w14:paraId="12B328ED" w14:textId="77777777" w:rsidR="00A611F3" w:rsidRPr="004124FE" w:rsidRDefault="00FB7B3F" w:rsidP="00EB1156">
    <w:pPr>
      <w:rPr>
        <w:vanish/>
        <w:highlight w:val="yellow"/>
      </w:rPr>
    </w:pPr>
    <w:r w:rsidRPr="00FB7B3F">
      <w:rPr>
        <w:b/>
        <w:vanish/>
        <w:highlight w:val="yellow"/>
      </w:rPr>
      <w:t xml:space="preserve">[[NOTE: </w:t>
    </w:r>
    <w:r w:rsidR="0075342A">
      <w:rPr>
        <w:b/>
        <w:vanish/>
        <w:highlight w:val="yellow"/>
      </w:rPr>
      <w:t xml:space="preserve"> </w:t>
    </w:r>
    <w:r w:rsidRPr="00FB7B3F">
      <w:rPr>
        <w:b/>
        <w:vanish/>
        <w:highlight w:val="yellow"/>
      </w:rPr>
      <w:t>Any highlighting is hidden and will not print</w:t>
    </w:r>
    <w:r>
      <w:rPr>
        <w:b/>
        <w:vanish/>
        <w:highlight w:val="yellow"/>
      </w:rPr>
      <w:t>.]]</w:t>
    </w:r>
    <w:r w:rsidR="00EA33BB">
      <w:rPr>
        <w:b/>
        <w:vanish/>
        <w:highlight w:val="yellow"/>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3EAB"/>
    <w:multiLevelType w:val="multilevel"/>
    <w:tmpl w:val="8018803A"/>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1" w15:restartNumberingAfterBreak="0">
    <w:nsid w:val="05AB265E"/>
    <w:multiLevelType w:val="multilevel"/>
    <w:tmpl w:val="4754DCB0"/>
    <w:numStyleLink w:val="BdSupsHeadingList"/>
  </w:abstractNum>
  <w:abstractNum w:abstractNumId="2" w15:restartNumberingAfterBreak="0">
    <w:nsid w:val="10C162B5"/>
    <w:multiLevelType w:val="multilevel"/>
    <w:tmpl w:val="4FCA7D06"/>
    <w:styleLink w:val="CATTYList"/>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3" w15:restartNumberingAfterBreak="0">
    <w:nsid w:val="12C66587"/>
    <w:multiLevelType w:val="hybridMultilevel"/>
    <w:tmpl w:val="218C42C8"/>
    <w:lvl w:ilvl="0" w:tplc="A7E8E1BA">
      <w:start w:val="1"/>
      <w:numFmt w:val="upperLetter"/>
      <w:lvlText w:val="%1."/>
      <w:lvlJc w:val="left"/>
      <w:pPr>
        <w:ind w:left="1080" w:hanging="360"/>
      </w:pPr>
      <w:rPr>
        <w:rFonts w:ascii="Times New Roman" w:hAnsi="Times New Roman" w:hint="default"/>
        <w:b/>
        <w:i w:val="0"/>
        <w:color w:val="auto"/>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AA10FE8"/>
    <w:multiLevelType w:val="multilevel"/>
    <w:tmpl w:val="4754DCB0"/>
    <w:numStyleLink w:val="BdSupsHeadingList"/>
  </w:abstractNum>
  <w:abstractNum w:abstractNumId="5" w15:restartNumberingAfterBreak="0">
    <w:nsid w:val="66B50AD4"/>
    <w:multiLevelType w:val="multilevel"/>
    <w:tmpl w:val="4754DCB0"/>
    <w:styleLink w:val="BdSupsHeadingList"/>
    <w:lvl w:ilvl="0">
      <w:start w:val="1"/>
      <w:numFmt w:val="none"/>
      <w:pStyle w:val="Heading1"/>
      <w:suff w:val="nothing"/>
      <w:lvlText w:val="%1"/>
      <w:lvlJc w:val="center"/>
      <w:pPr>
        <w:ind w:left="0" w:firstLine="0"/>
      </w:pPr>
      <w:rPr>
        <w:rFonts w:ascii="Arial" w:hAnsi="Arial"/>
        <w:b/>
        <w:caps/>
        <w:color w:val="auto"/>
        <w:sz w:val="24"/>
        <w:u w:val="none"/>
      </w:rPr>
    </w:lvl>
    <w:lvl w:ilvl="1">
      <w:start w:val="1"/>
      <w:numFmt w:val="upperRoman"/>
      <w:pStyle w:val="Heading2"/>
      <w:lvlText w:val="%2."/>
      <w:lvlJc w:val="left"/>
      <w:pPr>
        <w:tabs>
          <w:tab w:val="num" w:pos="720"/>
        </w:tabs>
        <w:ind w:left="720" w:hanging="720"/>
      </w:pPr>
      <w:rPr>
        <w:rFonts w:ascii="Arial" w:hAnsi="Arial"/>
        <w:b/>
        <w:caps/>
        <w:sz w:val="24"/>
      </w:rPr>
    </w:lvl>
    <w:lvl w:ilvl="2">
      <w:start w:val="1"/>
      <w:numFmt w:val="upperLetter"/>
      <w:pStyle w:val="Heading3"/>
      <w:lvlText w:val="%3."/>
      <w:lvlJc w:val="left"/>
      <w:pPr>
        <w:tabs>
          <w:tab w:val="num" w:pos="1440"/>
        </w:tabs>
        <w:ind w:left="1440" w:hanging="720"/>
      </w:pPr>
      <w:rPr>
        <w:rFonts w:ascii="Arial" w:hAnsi="Arial" w:hint="default"/>
        <w:b/>
        <w:i w:val="0"/>
        <w:sz w:val="24"/>
      </w:rPr>
    </w:lvl>
    <w:lvl w:ilvl="3">
      <w:start w:val="1"/>
      <w:numFmt w:val="decimal"/>
      <w:pStyle w:val="Heading4"/>
      <w:lvlText w:val="%4."/>
      <w:lvlJc w:val="left"/>
      <w:pPr>
        <w:tabs>
          <w:tab w:val="num" w:pos="2160"/>
        </w:tabs>
        <w:ind w:left="2160" w:hanging="720"/>
      </w:pPr>
      <w:rPr>
        <w:rFonts w:ascii="Arial" w:hAnsi="Arial" w:hint="default"/>
        <w:b/>
        <w:i w:val="0"/>
        <w:sz w:val="24"/>
      </w:rPr>
    </w:lvl>
    <w:lvl w:ilvl="4">
      <w:start w:val="1"/>
      <w:numFmt w:val="lowerLetter"/>
      <w:pStyle w:val="Heading5"/>
      <w:lvlText w:val="%5."/>
      <w:lvlJc w:val="left"/>
      <w:pPr>
        <w:tabs>
          <w:tab w:val="num" w:pos="2880"/>
        </w:tabs>
        <w:ind w:left="2880" w:hanging="720"/>
      </w:pPr>
      <w:rPr>
        <w:rFonts w:ascii="Arial" w:hAnsi="Arial" w:hint="default"/>
        <w:b/>
        <w:i w:val="0"/>
        <w:sz w:val="24"/>
      </w:rPr>
    </w:lvl>
    <w:lvl w:ilvl="5">
      <w:start w:val="1"/>
      <w:numFmt w:val="lowerRoman"/>
      <w:pStyle w:val="Heading6"/>
      <w:lvlText w:val="%6."/>
      <w:lvlJc w:val="left"/>
      <w:pPr>
        <w:tabs>
          <w:tab w:val="num" w:pos="3600"/>
        </w:tabs>
        <w:ind w:left="3600" w:hanging="720"/>
      </w:pPr>
      <w:rPr>
        <w:rFonts w:ascii="Arial" w:hAnsi="Arial" w:hint="default"/>
        <w:b/>
        <w:i w:val="0"/>
        <w:sz w:val="24"/>
      </w:rPr>
    </w:lvl>
    <w:lvl w:ilvl="6">
      <w:start w:val="1"/>
      <w:numFmt w:val="decimal"/>
      <w:pStyle w:val="Heading7"/>
      <w:lvlText w:val="(%7)"/>
      <w:lvlJc w:val="left"/>
      <w:pPr>
        <w:tabs>
          <w:tab w:val="num" w:pos="4320"/>
        </w:tabs>
        <w:ind w:left="4320" w:hanging="720"/>
      </w:pPr>
      <w:rPr>
        <w:rFonts w:ascii="Arial" w:hAnsi="Arial" w:hint="default"/>
        <w:b/>
        <w:i w:val="0"/>
        <w:sz w:val="24"/>
      </w:rPr>
    </w:lvl>
    <w:lvl w:ilvl="7">
      <w:start w:val="1"/>
      <w:numFmt w:val="lowerLetter"/>
      <w:pStyle w:val="Heading8"/>
      <w:lvlText w:val="(%8)"/>
      <w:lvlJc w:val="left"/>
      <w:pPr>
        <w:tabs>
          <w:tab w:val="num" w:pos="5040"/>
        </w:tabs>
        <w:ind w:left="5040" w:hanging="720"/>
      </w:pPr>
      <w:rPr>
        <w:rFonts w:ascii="Arial" w:hAnsi="Arial" w:hint="default"/>
        <w:b/>
        <w:i w:val="0"/>
        <w:sz w:val="24"/>
      </w:rPr>
    </w:lvl>
    <w:lvl w:ilvl="8">
      <w:start w:val="1"/>
      <w:numFmt w:val="lowerRoman"/>
      <w:pStyle w:val="Heading9"/>
      <w:lvlText w:val="(%9)"/>
      <w:lvlJc w:val="left"/>
      <w:pPr>
        <w:tabs>
          <w:tab w:val="num" w:pos="5760"/>
        </w:tabs>
        <w:ind w:left="5760" w:hanging="720"/>
      </w:pPr>
      <w:rPr>
        <w:rFonts w:ascii="Arial" w:hAnsi="Arial" w:hint="default"/>
        <w:b/>
        <w:i w:val="0"/>
        <w:sz w:val="24"/>
      </w:rPr>
    </w:lvl>
  </w:abstractNum>
  <w:abstractNum w:abstractNumId="6" w15:restartNumberingAfterBreak="0">
    <w:nsid w:val="74BD367D"/>
    <w:multiLevelType w:val="multilevel"/>
    <w:tmpl w:val="AD38C848"/>
    <w:styleLink w:val="ListCATTY"/>
    <w:lvl w:ilvl="0">
      <w:start w:val="1"/>
      <w:numFmt w:val="none"/>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num w:numId="1" w16cid:durableId="1279291684">
    <w:abstractNumId w:val="0"/>
  </w:num>
  <w:num w:numId="2" w16cid:durableId="1047491364">
    <w:abstractNumId w:val="6"/>
  </w:num>
  <w:num w:numId="3" w16cid:durableId="447823720">
    <w:abstractNumId w:val="2"/>
  </w:num>
  <w:num w:numId="4" w16cid:durableId="1632596197">
    <w:abstractNumId w:val="3"/>
  </w:num>
  <w:num w:numId="5" w16cid:durableId="2067294021">
    <w:abstractNumId w:val="5"/>
  </w:num>
  <w:num w:numId="6" w16cid:durableId="497963643">
    <w:abstractNumId w:val="4"/>
  </w:num>
  <w:num w:numId="7" w16cid:durableId="1013847232">
    <w:abstractNumId w:val="1"/>
  </w:num>
  <w:num w:numId="8" w16cid:durableId="489906814">
    <w:abstractNumId w:val="1"/>
  </w:num>
  <w:num w:numId="9" w16cid:durableId="1931811942">
    <w:abstractNumId w:val="1"/>
  </w:num>
  <w:num w:numId="10" w16cid:durableId="1354112867">
    <w:abstractNumId w:val="1"/>
  </w:num>
  <w:num w:numId="11" w16cid:durableId="761610848">
    <w:abstractNumId w:val="1"/>
  </w:num>
  <w:num w:numId="12" w16cid:durableId="1030649314">
    <w:abstractNumId w:val="1"/>
  </w:num>
  <w:num w:numId="13" w16cid:durableId="616523438">
    <w:abstractNumId w:val="1"/>
  </w:num>
  <w:num w:numId="14" w16cid:durableId="1288898547">
    <w:abstractNumId w:val="1"/>
  </w:num>
  <w:num w:numId="15" w16cid:durableId="59179415">
    <w:abstractNumId w:val="1"/>
  </w:num>
  <w:num w:numId="16" w16cid:durableId="90171557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dGeneratedStamp" w:val="4928-3022-3804, v. 1"/>
    <w:docVar w:name="ndGeneratedStampLocation" w:val="LastPage"/>
  </w:docVars>
  <w:rsids>
    <w:rsidRoot w:val="005D18E2"/>
    <w:rsid w:val="00017D1D"/>
    <w:rsid w:val="0002790B"/>
    <w:rsid w:val="00054036"/>
    <w:rsid w:val="00057CE6"/>
    <w:rsid w:val="0006707A"/>
    <w:rsid w:val="00070520"/>
    <w:rsid w:val="0008737F"/>
    <w:rsid w:val="00093551"/>
    <w:rsid w:val="000D5127"/>
    <w:rsid w:val="000E6576"/>
    <w:rsid w:val="000F3854"/>
    <w:rsid w:val="000F4742"/>
    <w:rsid w:val="000F74C6"/>
    <w:rsid w:val="000F7798"/>
    <w:rsid w:val="00111E01"/>
    <w:rsid w:val="00155DD9"/>
    <w:rsid w:val="001632E1"/>
    <w:rsid w:val="00165AE9"/>
    <w:rsid w:val="00166C8D"/>
    <w:rsid w:val="00185619"/>
    <w:rsid w:val="001A09CF"/>
    <w:rsid w:val="001C737F"/>
    <w:rsid w:val="00201E3C"/>
    <w:rsid w:val="002318AF"/>
    <w:rsid w:val="00236839"/>
    <w:rsid w:val="00236C0C"/>
    <w:rsid w:val="002421EC"/>
    <w:rsid w:val="00254D6C"/>
    <w:rsid w:val="002606E3"/>
    <w:rsid w:val="00266D86"/>
    <w:rsid w:val="00271A85"/>
    <w:rsid w:val="002A3C8E"/>
    <w:rsid w:val="002C2DCD"/>
    <w:rsid w:val="002C4F27"/>
    <w:rsid w:val="002C5319"/>
    <w:rsid w:val="002F10D5"/>
    <w:rsid w:val="002F5384"/>
    <w:rsid w:val="00306DA8"/>
    <w:rsid w:val="003218A9"/>
    <w:rsid w:val="00321F13"/>
    <w:rsid w:val="00330EC6"/>
    <w:rsid w:val="00341411"/>
    <w:rsid w:val="003458A8"/>
    <w:rsid w:val="00355DE3"/>
    <w:rsid w:val="0037252F"/>
    <w:rsid w:val="0038672D"/>
    <w:rsid w:val="0039427F"/>
    <w:rsid w:val="003972F0"/>
    <w:rsid w:val="003D57F0"/>
    <w:rsid w:val="004055D5"/>
    <w:rsid w:val="004113C5"/>
    <w:rsid w:val="004124FE"/>
    <w:rsid w:val="0043397C"/>
    <w:rsid w:val="0044219D"/>
    <w:rsid w:val="00450969"/>
    <w:rsid w:val="004673DE"/>
    <w:rsid w:val="00472F0D"/>
    <w:rsid w:val="00482142"/>
    <w:rsid w:val="004B2122"/>
    <w:rsid w:val="004E0DE4"/>
    <w:rsid w:val="00516290"/>
    <w:rsid w:val="00516C71"/>
    <w:rsid w:val="00527A82"/>
    <w:rsid w:val="005512E9"/>
    <w:rsid w:val="005722E2"/>
    <w:rsid w:val="00576534"/>
    <w:rsid w:val="00592FE3"/>
    <w:rsid w:val="005967EE"/>
    <w:rsid w:val="005C1AD4"/>
    <w:rsid w:val="005C4509"/>
    <w:rsid w:val="005C635E"/>
    <w:rsid w:val="005D18E2"/>
    <w:rsid w:val="005D602B"/>
    <w:rsid w:val="005E1AF3"/>
    <w:rsid w:val="005E45EB"/>
    <w:rsid w:val="005E7E2B"/>
    <w:rsid w:val="00611ACE"/>
    <w:rsid w:val="00611CB9"/>
    <w:rsid w:val="00645FDD"/>
    <w:rsid w:val="0064633B"/>
    <w:rsid w:val="00646FCE"/>
    <w:rsid w:val="00655258"/>
    <w:rsid w:val="0066684E"/>
    <w:rsid w:val="00671067"/>
    <w:rsid w:val="00671996"/>
    <w:rsid w:val="00671BA5"/>
    <w:rsid w:val="00673750"/>
    <w:rsid w:val="006A57AB"/>
    <w:rsid w:val="006C1E91"/>
    <w:rsid w:val="006C6797"/>
    <w:rsid w:val="006C7F1A"/>
    <w:rsid w:val="006D2205"/>
    <w:rsid w:val="006E0E9B"/>
    <w:rsid w:val="006F3C3D"/>
    <w:rsid w:val="00740AC8"/>
    <w:rsid w:val="00743A48"/>
    <w:rsid w:val="0075342A"/>
    <w:rsid w:val="00760456"/>
    <w:rsid w:val="00763DF9"/>
    <w:rsid w:val="007951E6"/>
    <w:rsid w:val="007A270F"/>
    <w:rsid w:val="007A74BE"/>
    <w:rsid w:val="007C7CCC"/>
    <w:rsid w:val="007D7CD2"/>
    <w:rsid w:val="007E1236"/>
    <w:rsid w:val="007E3481"/>
    <w:rsid w:val="008531E0"/>
    <w:rsid w:val="008565AE"/>
    <w:rsid w:val="008644BF"/>
    <w:rsid w:val="00866EE4"/>
    <w:rsid w:val="008716AD"/>
    <w:rsid w:val="00886618"/>
    <w:rsid w:val="00894953"/>
    <w:rsid w:val="008A657B"/>
    <w:rsid w:val="008A66CF"/>
    <w:rsid w:val="008B6A31"/>
    <w:rsid w:val="008B6D39"/>
    <w:rsid w:val="008D7E7E"/>
    <w:rsid w:val="008E29EF"/>
    <w:rsid w:val="008E64ED"/>
    <w:rsid w:val="00913658"/>
    <w:rsid w:val="00970874"/>
    <w:rsid w:val="00987040"/>
    <w:rsid w:val="00994F4C"/>
    <w:rsid w:val="009B5B61"/>
    <w:rsid w:val="00A162EF"/>
    <w:rsid w:val="00A245A9"/>
    <w:rsid w:val="00A24758"/>
    <w:rsid w:val="00A27241"/>
    <w:rsid w:val="00A32A2D"/>
    <w:rsid w:val="00A53E13"/>
    <w:rsid w:val="00A56F35"/>
    <w:rsid w:val="00A611F3"/>
    <w:rsid w:val="00A75961"/>
    <w:rsid w:val="00A822DE"/>
    <w:rsid w:val="00A82589"/>
    <w:rsid w:val="00AA1ACB"/>
    <w:rsid w:val="00AB5841"/>
    <w:rsid w:val="00AB5B3F"/>
    <w:rsid w:val="00AB6846"/>
    <w:rsid w:val="00AC4EFA"/>
    <w:rsid w:val="00AC7073"/>
    <w:rsid w:val="00AD3313"/>
    <w:rsid w:val="00AD4E8A"/>
    <w:rsid w:val="00AE7000"/>
    <w:rsid w:val="00AF2B2F"/>
    <w:rsid w:val="00B2362A"/>
    <w:rsid w:val="00B4792A"/>
    <w:rsid w:val="00B568CC"/>
    <w:rsid w:val="00B63FA3"/>
    <w:rsid w:val="00B7633C"/>
    <w:rsid w:val="00B860AF"/>
    <w:rsid w:val="00B87464"/>
    <w:rsid w:val="00BC6901"/>
    <w:rsid w:val="00BC75A6"/>
    <w:rsid w:val="00BE1AE9"/>
    <w:rsid w:val="00C33CF0"/>
    <w:rsid w:val="00C4762A"/>
    <w:rsid w:val="00C532A9"/>
    <w:rsid w:val="00C86E71"/>
    <w:rsid w:val="00C904E9"/>
    <w:rsid w:val="00C95F76"/>
    <w:rsid w:val="00CB25B3"/>
    <w:rsid w:val="00CD13AE"/>
    <w:rsid w:val="00CF3535"/>
    <w:rsid w:val="00D20666"/>
    <w:rsid w:val="00D4572E"/>
    <w:rsid w:val="00D505B5"/>
    <w:rsid w:val="00D67CE5"/>
    <w:rsid w:val="00D72E28"/>
    <w:rsid w:val="00D97D3A"/>
    <w:rsid w:val="00DA4DB9"/>
    <w:rsid w:val="00DB0688"/>
    <w:rsid w:val="00DB2665"/>
    <w:rsid w:val="00DF3FCC"/>
    <w:rsid w:val="00DF42F8"/>
    <w:rsid w:val="00DF5CC4"/>
    <w:rsid w:val="00E02AC5"/>
    <w:rsid w:val="00E124AF"/>
    <w:rsid w:val="00E7140B"/>
    <w:rsid w:val="00E80C6D"/>
    <w:rsid w:val="00E9208E"/>
    <w:rsid w:val="00EA33BB"/>
    <w:rsid w:val="00EA7967"/>
    <w:rsid w:val="00EB1156"/>
    <w:rsid w:val="00EC5192"/>
    <w:rsid w:val="00EE6585"/>
    <w:rsid w:val="00EE7763"/>
    <w:rsid w:val="00EF555B"/>
    <w:rsid w:val="00F31EAD"/>
    <w:rsid w:val="00F52EBF"/>
    <w:rsid w:val="00F53F3B"/>
    <w:rsid w:val="00F7547B"/>
    <w:rsid w:val="00F77948"/>
    <w:rsid w:val="00F8103E"/>
    <w:rsid w:val="00FB03CC"/>
    <w:rsid w:val="00FB7B3F"/>
    <w:rsid w:val="00FE293A"/>
    <w:rsid w:val="00FE6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00608"/>
  <w15:docId w15:val="{4AA3AB50-4C02-4C03-BCC7-16CAC5F87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line="240" w:lineRule="exac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10" w:unhideWhenUsed="1"/>
    <w:lsdException w:name="toc 4" w:semiHidden="1" w:uiPriority="10" w:unhideWhenUsed="1"/>
    <w:lsdException w:name="toc 5" w:semiHidden="1" w:uiPriority="10" w:unhideWhenUsed="1"/>
    <w:lsdException w:name="toc 6" w:semiHidden="1" w:uiPriority="10" w:unhideWhenUsed="1"/>
    <w:lsdException w:name="toc 7" w:semiHidden="1" w:uiPriority="10" w:unhideWhenUsed="1"/>
    <w:lsdException w:name="toc 8" w:semiHidden="1" w:uiPriority="10" w:unhideWhenUsed="1"/>
    <w:lsdException w:name="toc 9" w:semiHidden="1" w:uiPriority="10" w:unhideWhenUsed="1"/>
    <w:lsdException w:name="Normal Indent" w:semiHidden="1" w:unhideWhenUsed="1"/>
    <w:lsdException w:name="footnote text" w:semiHidden="1" w:uiPriority="0"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4"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122"/>
    <w:pPr>
      <w:spacing w:line="240" w:lineRule="auto"/>
    </w:pPr>
    <w:rPr>
      <w:rFonts w:ascii="Arial" w:hAnsi="Arial"/>
    </w:rPr>
  </w:style>
  <w:style w:type="paragraph" w:styleId="Heading1">
    <w:name w:val="heading 1"/>
    <w:basedOn w:val="List"/>
    <w:next w:val="BodyText"/>
    <w:link w:val="Heading1Char"/>
    <w:qFormat/>
    <w:rsid w:val="00236839"/>
    <w:pPr>
      <w:keepNext/>
      <w:numPr>
        <w:numId w:val="16"/>
      </w:numPr>
      <w:spacing w:before="120" w:after="120" w:line="240" w:lineRule="exact"/>
      <w:jc w:val="center"/>
      <w:outlineLvl w:val="0"/>
    </w:pPr>
    <w:rPr>
      <w:rFonts w:eastAsiaTheme="majorEastAsia" w:cstheme="majorBidi"/>
      <w:b/>
      <w:bCs/>
      <w:caps/>
      <w:szCs w:val="28"/>
    </w:rPr>
  </w:style>
  <w:style w:type="paragraph" w:styleId="Heading2">
    <w:name w:val="heading 2"/>
    <w:basedOn w:val="List"/>
    <w:next w:val="BodyText"/>
    <w:link w:val="Heading2Char"/>
    <w:qFormat/>
    <w:rsid w:val="00236839"/>
    <w:pPr>
      <w:keepNext/>
      <w:numPr>
        <w:ilvl w:val="1"/>
        <w:numId w:val="16"/>
      </w:numPr>
      <w:spacing w:before="120" w:after="120" w:line="240" w:lineRule="exact"/>
      <w:outlineLvl w:val="1"/>
    </w:pPr>
    <w:rPr>
      <w:rFonts w:eastAsiaTheme="majorEastAsia" w:cstheme="majorBidi"/>
      <w:b/>
      <w:bCs/>
      <w:caps/>
      <w:szCs w:val="26"/>
    </w:rPr>
  </w:style>
  <w:style w:type="paragraph" w:styleId="Heading3">
    <w:name w:val="heading 3"/>
    <w:basedOn w:val="List"/>
    <w:next w:val="BodyText"/>
    <w:link w:val="Heading3Char"/>
    <w:qFormat/>
    <w:rsid w:val="00236839"/>
    <w:pPr>
      <w:keepNext/>
      <w:numPr>
        <w:ilvl w:val="2"/>
        <w:numId w:val="16"/>
      </w:numPr>
      <w:spacing w:before="120" w:after="120" w:line="240" w:lineRule="exact"/>
      <w:outlineLvl w:val="2"/>
    </w:pPr>
    <w:rPr>
      <w:rFonts w:eastAsiaTheme="majorEastAsia" w:cstheme="majorBidi"/>
      <w:b/>
      <w:szCs w:val="26"/>
    </w:rPr>
  </w:style>
  <w:style w:type="paragraph" w:styleId="Heading4">
    <w:name w:val="heading 4"/>
    <w:basedOn w:val="List"/>
    <w:next w:val="BodyText"/>
    <w:link w:val="Heading4Char"/>
    <w:qFormat/>
    <w:rsid w:val="00236839"/>
    <w:pPr>
      <w:keepNext/>
      <w:numPr>
        <w:ilvl w:val="3"/>
        <w:numId w:val="16"/>
      </w:numPr>
      <w:spacing w:before="120" w:after="120" w:line="240" w:lineRule="exact"/>
      <w:outlineLvl w:val="3"/>
    </w:pPr>
    <w:rPr>
      <w:rFonts w:eastAsiaTheme="majorEastAsia" w:cstheme="majorBidi"/>
      <w:b/>
      <w:bCs/>
      <w:iCs/>
      <w:szCs w:val="26"/>
    </w:rPr>
  </w:style>
  <w:style w:type="paragraph" w:styleId="Heading5">
    <w:name w:val="heading 5"/>
    <w:basedOn w:val="List"/>
    <w:next w:val="BodyText"/>
    <w:link w:val="Heading5Char"/>
    <w:qFormat/>
    <w:rsid w:val="00236839"/>
    <w:pPr>
      <w:keepNext/>
      <w:numPr>
        <w:ilvl w:val="4"/>
        <w:numId w:val="16"/>
      </w:numPr>
      <w:spacing w:before="120" w:after="120" w:line="240" w:lineRule="exact"/>
      <w:outlineLvl w:val="4"/>
    </w:pPr>
    <w:rPr>
      <w:rFonts w:eastAsiaTheme="majorEastAsia" w:cstheme="majorBidi"/>
      <w:b/>
    </w:rPr>
  </w:style>
  <w:style w:type="paragraph" w:styleId="Heading6">
    <w:name w:val="heading 6"/>
    <w:basedOn w:val="List"/>
    <w:next w:val="BodyText"/>
    <w:link w:val="Heading6Char"/>
    <w:qFormat/>
    <w:rsid w:val="00236839"/>
    <w:pPr>
      <w:keepNext/>
      <w:numPr>
        <w:ilvl w:val="5"/>
        <w:numId w:val="16"/>
      </w:numPr>
      <w:spacing w:before="120" w:after="120" w:line="240" w:lineRule="exact"/>
      <w:outlineLvl w:val="5"/>
    </w:pPr>
    <w:rPr>
      <w:rFonts w:eastAsiaTheme="majorEastAsia" w:cstheme="majorBidi"/>
      <w:b/>
      <w:iCs/>
    </w:rPr>
  </w:style>
  <w:style w:type="paragraph" w:styleId="Heading7">
    <w:name w:val="heading 7"/>
    <w:basedOn w:val="List"/>
    <w:next w:val="BodyText"/>
    <w:link w:val="Heading7Char"/>
    <w:qFormat/>
    <w:rsid w:val="00236839"/>
    <w:pPr>
      <w:keepNext/>
      <w:numPr>
        <w:ilvl w:val="6"/>
        <w:numId w:val="16"/>
      </w:numPr>
      <w:spacing w:before="120" w:after="120" w:line="240" w:lineRule="exact"/>
      <w:outlineLvl w:val="6"/>
    </w:pPr>
    <w:rPr>
      <w:rFonts w:eastAsiaTheme="majorEastAsia" w:cstheme="majorBidi"/>
      <w:b/>
      <w:iCs/>
    </w:rPr>
  </w:style>
  <w:style w:type="paragraph" w:styleId="Heading8">
    <w:name w:val="heading 8"/>
    <w:basedOn w:val="List"/>
    <w:next w:val="BodyText"/>
    <w:link w:val="Heading8Char"/>
    <w:qFormat/>
    <w:rsid w:val="00236839"/>
    <w:pPr>
      <w:keepNext/>
      <w:numPr>
        <w:ilvl w:val="7"/>
        <w:numId w:val="16"/>
      </w:numPr>
      <w:spacing w:before="120" w:after="120" w:line="240" w:lineRule="exact"/>
      <w:outlineLvl w:val="7"/>
    </w:pPr>
    <w:rPr>
      <w:rFonts w:eastAsiaTheme="majorEastAsia" w:cstheme="majorBidi"/>
      <w:b/>
      <w:szCs w:val="20"/>
    </w:rPr>
  </w:style>
  <w:style w:type="paragraph" w:styleId="Heading9">
    <w:name w:val="heading 9"/>
    <w:basedOn w:val="List"/>
    <w:next w:val="BodyText"/>
    <w:link w:val="Heading9Char"/>
    <w:qFormat/>
    <w:rsid w:val="00236839"/>
    <w:pPr>
      <w:keepNext/>
      <w:numPr>
        <w:ilvl w:val="8"/>
        <w:numId w:val="16"/>
      </w:numPr>
      <w:spacing w:before="120" w:after="120" w:line="240" w:lineRule="exact"/>
      <w:outlineLvl w:val="8"/>
    </w:pPr>
    <w:rPr>
      <w:rFonts w:eastAsiaTheme="majorEastAsia"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70874"/>
    <w:pPr>
      <w:spacing w:before="120" w:after="120"/>
      <w:ind w:firstLine="720"/>
    </w:pPr>
  </w:style>
  <w:style w:type="character" w:customStyle="1" w:styleId="BodyTextChar">
    <w:name w:val="Body Text Char"/>
    <w:basedOn w:val="DefaultParagraphFont"/>
    <w:link w:val="BodyText"/>
    <w:rsid w:val="00970874"/>
  </w:style>
  <w:style w:type="paragraph" w:styleId="EnvelopeAddress">
    <w:name w:val="envelope address"/>
    <w:basedOn w:val="Normal"/>
    <w:semiHidden/>
    <w:unhideWhenUsed/>
    <w:rsid w:val="00970874"/>
    <w:pPr>
      <w:framePr w:w="7920" w:h="1980" w:hRule="exact" w:hSpace="180" w:wrap="auto" w:hAnchor="page" w:xAlign="center" w:yAlign="bottom"/>
      <w:ind w:left="2880"/>
    </w:pPr>
    <w:rPr>
      <w:rFonts w:eastAsiaTheme="majorEastAsia" w:cstheme="majorBidi"/>
    </w:rPr>
  </w:style>
  <w:style w:type="paragraph" w:styleId="Footer">
    <w:name w:val="footer"/>
    <w:basedOn w:val="Normal"/>
    <w:link w:val="FooterChar"/>
    <w:rsid w:val="00EB1156"/>
    <w:pPr>
      <w:tabs>
        <w:tab w:val="center" w:pos="4680"/>
        <w:tab w:val="right" w:pos="9360"/>
      </w:tabs>
    </w:pPr>
  </w:style>
  <w:style w:type="character" w:customStyle="1" w:styleId="FooterChar">
    <w:name w:val="Footer Char"/>
    <w:basedOn w:val="DefaultParagraphFont"/>
    <w:link w:val="Footer"/>
    <w:rsid w:val="00EB1156"/>
    <w:rPr>
      <w:rFonts w:ascii="Arial" w:hAnsi="Arial"/>
    </w:rPr>
  </w:style>
  <w:style w:type="paragraph" w:styleId="FootnoteText">
    <w:name w:val="footnote text"/>
    <w:basedOn w:val="Normal"/>
    <w:link w:val="FootnoteTextChar"/>
    <w:semiHidden/>
    <w:unhideWhenUsed/>
    <w:rsid w:val="00970874"/>
    <w:rPr>
      <w:szCs w:val="20"/>
    </w:rPr>
  </w:style>
  <w:style w:type="character" w:customStyle="1" w:styleId="FootnoteTextChar">
    <w:name w:val="Footnote Text Char"/>
    <w:basedOn w:val="DefaultParagraphFont"/>
    <w:link w:val="FootnoteText"/>
    <w:semiHidden/>
    <w:rsid w:val="00970874"/>
    <w:rPr>
      <w:szCs w:val="20"/>
    </w:rPr>
  </w:style>
  <w:style w:type="paragraph" w:styleId="Header">
    <w:name w:val="header"/>
    <w:basedOn w:val="Normal"/>
    <w:link w:val="HeaderChar"/>
    <w:rsid w:val="00EB1156"/>
    <w:pPr>
      <w:tabs>
        <w:tab w:val="center" w:pos="4680"/>
        <w:tab w:val="right" w:pos="9360"/>
      </w:tabs>
    </w:pPr>
  </w:style>
  <w:style w:type="character" w:customStyle="1" w:styleId="HeaderChar">
    <w:name w:val="Header Char"/>
    <w:basedOn w:val="DefaultParagraphFont"/>
    <w:link w:val="Header"/>
    <w:rsid w:val="00EB1156"/>
    <w:rPr>
      <w:rFonts w:ascii="Arial" w:hAnsi="Arial"/>
    </w:rPr>
  </w:style>
  <w:style w:type="character" w:customStyle="1" w:styleId="Heading1Char">
    <w:name w:val="Heading 1 Char"/>
    <w:basedOn w:val="DefaultParagraphFont"/>
    <w:link w:val="Heading1"/>
    <w:rsid w:val="00B63FA3"/>
    <w:rPr>
      <w:rFonts w:ascii="Arial" w:eastAsiaTheme="majorEastAsia" w:hAnsi="Arial" w:cstheme="majorBidi"/>
      <w:b/>
      <w:bCs/>
      <w:caps/>
      <w:szCs w:val="28"/>
    </w:rPr>
  </w:style>
  <w:style w:type="character" w:styleId="FootnoteReference">
    <w:name w:val="footnote reference"/>
    <w:basedOn w:val="DefaultParagraphFont"/>
    <w:semiHidden/>
    <w:rsid w:val="00970874"/>
    <w:rPr>
      <w:vertAlign w:val="superscript"/>
    </w:rPr>
  </w:style>
  <w:style w:type="character" w:customStyle="1" w:styleId="Heading2Char">
    <w:name w:val="Heading 2 Char"/>
    <w:basedOn w:val="DefaultParagraphFont"/>
    <w:link w:val="Heading2"/>
    <w:rsid w:val="00355DE3"/>
    <w:rPr>
      <w:rFonts w:ascii="Arial" w:eastAsiaTheme="majorEastAsia" w:hAnsi="Arial" w:cstheme="majorBidi"/>
      <w:b/>
      <w:bCs/>
      <w:caps/>
      <w:szCs w:val="26"/>
    </w:rPr>
  </w:style>
  <w:style w:type="character" w:customStyle="1" w:styleId="Heading3Char">
    <w:name w:val="Heading 3 Char"/>
    <w:basedOn w:val="DefaultParagraphFont"/>
    <w:link w:val="Heading3"/>
    <w:rsid w:val="00355DE3"/>
    <w:rPr>
      <w:rFonts w:ascii="Arial" w:eastAsiaTheme="majorEastAsia" w:hAnsi="Arial" w:cstheme="majorBidi"/>
      <w:b/>
      <w:szCs w:val="26"/>
    </w:rPr>
  </w:style>
  <w:style w:type="character" w:customStyle="1" w:styleId="Heading4Char">
    <w:name w:val="Heading 4 Char"/>
    <w:basedOn w:val="DefaultParagraphFont"/>
    <w:link w:val="Heading4"/>
    <w:rsid w:val="00355DE3"/>
    <w:rPr>
      <w:rFonts w:ascii="Arial" w:eastAsiaTheme="majorEastAsia" w:hAnsi="Arial" w:cstheme="majorBidi"/>
      <w:b/>
      <w:bCs/>
      <w:iCs/>
      <w:szCs w:val="26"/>
    </w:rPr>
  </w:style>
  <w:style w:type="character" w:customStyle="1" w:styleId="Heading5Char">
    <w:name w:val="Heading 5 Char"/>
    <w:basedOn w:val="DefaultParagraphFont"/>
    <w:link w:val="Heading5"/>
    <w:rsid w:val="00355DE3"/>
    <w:rPr>
      <w:rFonts w:ascii="Arial" w:eastAsiaTheme="majorEastAsia" w:hAnsi="Arial" w:cstheme="majorBidi"/>
      <w:b/>
    </w:rPr>
  </w:style>
  <w:style w:type="character" w:customStyle="1" w:styleId="Heading6Char">
    <w:name w:val="Heading 6 Char"/>
    <w:basedOn w:val="DefaultParagraphFont"/>
    <w:link w:val="Heading6"/>
    <w:rsid w:val="00355DE3"/>
    <w:rPr>
      <w:rFonts w:ascii="Arial" w:eastAsiaTheme="majorEastAsia" w:hAnsi="Arial" w:cstheme="majorBidi"/>
      <w:b/>
      <w:iCs/>
    </w:rPr>
  </w:style>
  <w:style w:type="character" w:customStyle="1" w:styleId="Heading7Char">
    <w:name w:val="Heading 7 Char"/>
    <w:basedOn w:val="DefaultParagraphFont"/>
    <w:link w:val="Heading7"/>
    <w:rsid w:val="00355DE3"/>
    <w:rPr>
      <w:rFonts w:ascii="Arial" w:eastAsiaTheme="majorEastAsia" w:hAnsi="Arial" w:cstheme="majorBidi"/>
      <w:b/>
      <w:iCs/>
    </w:rPr>
  </w:style>
  <w:style w:type="character" w:customStyle="1" w:styleId="Heading8Char">
    <w:name w:val="Heading 8 Char"/>
    <w:basedOn w:val="DefaultParagraphFont"/>
    <w:link w:val="Heading8"/>
    <w:rsid w:val="00355DE3"/>
    <w:rPr>
      <w:rFonts w:ascii="Arial" w:eastAsiaTheme="majorEastAsia" w:hAnsi="Arial" w:cstheme="majorBidi"/>
      <w:b/>
      <w:szCs w:val="20"/>
    </w:rPr>
  </w:style>
  <w:style w:type="paragraph" w:styleId="ListParagraph">
    <w:name w:val="List Paragraph"/>
    <w:basedOn w:val="Normal"/>
    <w:uiPriority w:val="34"/>
    <w:qFormat/>
    <w:rsid w:val="00970874"/>
    <w:pPr>
      <w:ind w:left="720"/>
      <w:contextualSpacing/>
    </w:pPr>
  </w:style>
  <w:style w:type="numbering" w:customStyle="1" w:styleId="ListCATTY">
    <w:name w:val="ListCATTY"/>
    <w:uiPriority w:val="99"/>
    <w:rsid w:val="00970874"/>
    <w:pPr>
      <w:numPr>
        <w:numId w:val="2"/>
      </w:numPr>
    </w:pPr>
  </w:style>
  <w:style w:type="numbering" w:customStyle="1" w:styleId="CATTYList">
    <w:name w:val="CATTY List"/>
    <w:uiPriority w:val="99"/>
    <w:rsid w:val="00970874"/>
    <w:pPr>
      <w:numPr>
        <w:numId w:val="3"/>
      </w:numPr>
    </w:pPr>
  </w:style>
  <w:style w:type="paragraph" w:styleId="List">
    <w:name w:val="List"/>
    <w:basedOn w:val="Normal"/>
    <w:uiPriority w:val="99"/>
    <w:semiHidden/>
    <w:unhideWhenUsed/>
    <w:rsid w:val="00970874"/>
    <w:pPr>
      <w:ind w:left="360" w:hanging="360"/>
      <w:contextualSpacing/>
    </w:pPr>
  </w:style>
  <w:style w:type="character" w:customStyle="1" w:styleId="Heading9Char">
    <w:name w:val="Heading 9 Char"/>
    <w:basedOn w:val="DefaultParagraphFont"/>
    <w:link w:val="Heading9"/>
    <w:rsid w:val="00355DE3"/>
    <w:rPr>
      <w:rFonts w:ascii="Arial" w:eastAsiaTheme="majorEastAsia" w:hAnsi="Arial" w:cstheme="majorBidi"/>
      <w:b/>
      <w:iCs/>
      <w:szCs w:val="20"/>
    </w:rPr>
  </w:style>
  <w:style w:type="paragraph" w:styleId="List2">
    <w:name w:val="List 2"/>
    <w:basedOn w:val="Normal"/>
    <w:uiPriority w:val="99"/>
    <w:semiHidden/>
    <w:unhideWhenUsed/>
    <w:rsid w:val="00970874"/>
    <w:pPr>
      <w:ind w:left="720" w:hanging="360"/>
      <w:contextualSpacing/>
    </w:pPr>
  </w:style>
  <w:style w:type="character" w:styleId="PageNumber">
    <w:name w:val="page number"/>
    <w:basedOn w:val="DefaultParagraphFont"/>
    <w:rsid w:val="00B63FA3"/>
    <w:rPr>
      <w:rFonts w:ascii="Arial" w:hAnsi="Arial"/>
    </w:rPr>
  </w:style>
  <w:style w:type="paragraph" w:styleId="Quote">
    <w:name w:val="Quote"/>
    <w:next w:val="Normal"/>
    <w:link w:val="QuoteChar"/>
    <w:qFormat/>
    <w:rsid w:val="00B63FA3"/>
    <w:pPr>
      <w:spacing w:before="120" w:after="120"/>
      <w:ind w:left="1440" w:right="720"/>
    </w:pPr>
    <w:rPr>
      <w:rFonts w:ascii="Arial" w:hAnsi="Arial"/>
      <w:iCs/>
    </w:rPr>
  </w:style>
  <w:style w:type="character" w:customStyle="1" w:styleId="QuoteChar">
    <w:name w:val="Quote Char"/>
    <w:basedOn w:val="DefaultParagraphFont"/>
    <w:link w:val="Quote"/>
    <w:rsid w:val="00B63FA3"/>
    <w:rPr>
      <w:rFonts w:ascii="Arial" w:hAnsi="Arial"/>
      <w:iCs/>
    </w:rPr>
  </w:style>
  <w:style w:type="character" w:styleId="Strong">
    <w:name w:val="Strong"/>
    <w:basedOn w:val="DefaultParagraphFont"/>
    <w:uiPriority w:val="22"/>
    <w:qFormat/>
    <w:rsid w:val="00AF2B2F"/>
    <w:rPr>
      <w:b/>
      <w:bCs/>
    </w:rPr>
  </w:style>
  <w:style w:type="numbering" w:customStyle="1" w:styleId="BdSupsHeadingList">
    <w:name w:val="BdSupsHeadingList"/>
    <w:uiPriority w:val="99"/>
    <w:rsid w:val="00355DE3"/>
    <w:pPr>
      <w:numPr>
        <w:numId w:val="5"/>
      </w:numPr>
    </w:pPr>
  </w:style>
  <w:style w:type="paragraph" w:styleId="BalloonText">
    <w:name w:val="Balloon Text"/>
    <w:basedOn w:val="Normal"/>
    <w:link w:val="BalloonTextChar"/>
    <w:uiPriority w:val="99"/>
    <w:semiHidden/>
    <w:unhideWhenUsed/>
    <w:rsid w:val="004673DE"/>
    <w:rPr>
      <w:rFonts w:ascii="Tahoma" w:hAnsi="Tahoma" w:cs="Tahoma"/>
      <w:sz w:val="16"/>
      <w:szCs w:val="16"/>
    </w:rPr>
  </w:style>
  <w:style w:type="character" w:customStyle="1" w:styleId="BalloonTextChar">
    <w:name w:val="Balloon Text Char"/>
    <w:basedOn w:val="DefaultParagraphFont"/>
    <w:link w:val="BalloonText"/>
    <w:uiPriority w:val="99"/>
    <w:semiHidden/>
    <w:rsid w:val="004673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S%20Word%20M365\Workgroup\!BdSupsM365\!BdSups%20M365%20Legis%20Diges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4A1D2-1108-4D3B-BC77-1CB2860BD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!BdSups M365 Legis Digest</Template>
  <TotalTime>135</TotalTime>
  <Pages>2</Pages>
  <Words>816</Words>
  <Characters>4654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CCSF</Company>
  <LinksUpToDate>false</LinksUpToDate>
  <CharactersWithSpaces>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AUDREY WILLIAMS</dc:creator>
  <cp:lastModifiedBy>Ho, Calvin (BOS)</cp:lastModifiedBy>
  <cp:revision>11</cp:revision>
  <dcterms:created xsi:type="dcterms:W3CDTF">2026-07-09T23:21:00Z</dcterms:created>
  <dcterms:modified xsi:type="dcterms:W3CDTF">2026-07-22T17:18:00Z</dcterms:modified>
</cp:coreProperties>
</file>